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6C59" w14:textId="4A051138" w:rsidR="00931E9F" w:rsidRDefault="00E620D9" w:rsidP="00931E9F">
      <w:pPr>
        <w:pStyle w:val="NormalWeb"/>
        <w:spacing w:before="0" w:beforeAutospacing="0" w:after="0" w:afterAutospacing="0"/>
      </w:pPr>
      <w:r>
        <w:rPr>
          <w:rFonts w:ascii="Arial" w:hAnsi="Arial" w:cs="Arial"/>
          <w:noProof/>
          <w:color w:val="0000FF"/>
          <w:sz w:val="22"/>
          <w:szCs w:val="22"/>
          <w:bdr w:val="none" w:sz="0" w:space="0" w:color="auto" w:frame="1"/>
        </w:rPr>
        <w:t xml:space="preserve">   </w:t>
      </w:r>
      <w:r>
        <w:rPr>
          <w:rFonts w:ascii="Arial" w:hAnsi="Arial" w:cs="Arial"/>
          <w:noProof/>
          <w:color w:val="0000FF"/>
          <w:sz w:val="22"/>
          <w:szCs w:val="22"/>
          <w:bdr w:val="none" w:sz="0" w:space="0" w:color="auto" w:frame="1"/>
        </w:rPr>
        <w:drawing>
          <wp:inline distT="0" distB="0" distL="0" distR="0" wp14:anchorId="50665DAA" wp14:editId="0A125255">
            <wp:extent cx="1516920" cy="756138"/>
            <wp:effectExtent l="0" t="0" r="7620" b="6350"/>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670" cy="763989"/>
                    </a:xfrm>
                    <a:prstGeom prst="rect">
                      <a:avLst/>
                    </a:prstGeom>
                    <a:noFill/>
                    <a:ln>
                      <a:noFill/>
                    </a:ln>
                  </pic:spPr>
                </pic:pic>
              </a:graphicData>
            </a:graphic>
          </wp:inline>
        </w:drawing>
      </w:r>
      <w:r>
        <w:rPr>
          <w:rFonts w:ascii="Arial" w:hAnsi="Arial" w:cs="Arial"/>
          <w:noProof/>
          <w:color w:val="0000FF"/>
          <w:sz w:val="22"/>
          <w:szCs w:val="22"/>
          <w:bdr w:val="none" w:sz="0" w:space="0" w:color="auto" w:frame="1"/>
        </w:rPr>
        <w:t xml:space="preserve">            </w:t>
      </w:r>
      <w:r>
        <w:rPr>
          <w:rFonts w:ascii="Arial" w:hAnsi="Arial" w:cs="Arial"/>
          <w:noProof/>
          <w:color w:val="0000FF"/>
          <w:sz w:val="22"/>
          <w:szCs w:val="22"/>
          <w:bdr w:val="none" w:sz="0" w:space="0" w:color="auto" w:frame="1"/>
        </w:rPr>
        <w:drawing>
          <wp:inline distT="0" distB="0" distL="0" distR="0" wp14:anchorId="3D9890D3" wp14:editId="739A75AB">
            <wp:extent cx="1687830" cy="820615"/>
            <wp:effectExtent l="0" t="0" r="7620" b="0"/>
            <wp:docPr id="1"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imag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3946" cy="823589"/>
                    </a:xfrm>
                    <a:prstGeom prst="rect">
                      <a:avLst/>
                    </a:prstGeom>
                    <a:noFill/>
                    <a:ln>
                      <a:noFill/>
                    </a:ln>
                  </pic:spPr>
                </pic:pic>
              </a:graphicData>
            </a:graphic>
          </wp:inline>
        </w:drawing>
      </w:r>
      <w:r>
        <w:rPr>
          <w:rFonts w:ascii="Arial" w:hAnsi="Arial" w:cs="Arial"/>
          <w:noProof/>
          <w:color w:val="0000FF"/>
          <w:sz w:val="22"/>
          <w:szCs w:val="22"/>
          <w:bdr w:val="none" w:sz="0" w:space="0" w:color="auto" w:frame="1"/>
        </w:rPr>
        <w:t xml:space="preserve">        </w:t>
      </w:r>
      <w:r w:rsidR="00931E9F">
        <w:rPr>
          <w:rFonts w:ascii="Arial" w:hAnsi="Arial" w:cs="Arial"/>
          <w:noProof/>
          <w:color w:val="0000FF"/>
          <w:sz w:val="22"/>
          <w:szCs w:val="22"/>
          <w:bdr w:val="none" w:sz="0" w:space="0" w:color="auto" w:frame="1"/>
        </w:rPr>
        <w:drawing>
          <wp:inline distT="0" distB="0" distL="0" distR="0" wp14:anchorId="5F828FE2" wp14:editId="7FDF6EB1">
            <wp:extent cx="1787055" cy="8839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1637" cy="886187"/>
                    </a:xfrm>
                    <a:prstGeom prst="rect">
                      <a:avLst/>
                    </a:prstGeom>
                    <a:noFill/>
                    <a:ln>
                      <a:noFill/>
                    </a:ln>
                  </pic:spPr>
                </pic:pic>
              </a:graphicData>
            </a:graphic>
          </wp:inline>
        </w:drawing>
      </w:r>
    </w:p>
    <w:p w14:paraId="301C5997" w14:textId="77777777" w:rsidR="00931E9F" w:rsidRDefault="00931E9F" w:rsidP="00931E9F"/>
    <w:p w14:paraId="56572EC0" w14:textId="1B3AA20D" w:rsidR="00931E9F" w:rsidRPr="00E620D9" w:rsidRDefault="00931E9F" w:rsidP="00931E9F">
      <w:pPr>
        <w:pStyle w:val="NormalWeb"/>
        <w:spacing w:before="240" w:beforeAutospacing="0" w:after="240" w:afterAutospacing="0"/>
      </w:pPr>
      <w:r w:rsidRPr="00E620D9">
        <w:rPr>
          <w:b/>
          <w:bCs/>
          <w:color w:val="000000"/>
        </w:rPr>
        <w:t>FOR IMMEDIATE RELEASE: July 26</w:t>
      </w:r>
      <w:r w:rsidRPr="00E620D9">
        <w:rPr>
          <w:b/>
          <w:bCs/>
          <w:color w:val="000000"/>
          <w:vertAlign w:val="superscript"/>
        </w:rPr>
        <w:t>th</w:t>
      </w:r>
      <w:r w:rsidRPr="00E620D9">
        <w:rPr>
          <w:b/>
          <w:bCs/>
          <w:color w:val="000000"/>
        </w:rPr>
        <w:t>, 2023</w:t>
      </w:r>
    </w:p>
    <w:p w14:paraId="69A94F71" w14:textId="77777777" w:rsidR="00931E9F" w:rsidRPr="00E620D9" w:rsidRDefault="00931E9F" w:rsidP="00931E9F">
      <w:pPr>
        <w:pStyle w:val="NormalWeb"/>
        <w:spacing w:before="240" w:beforeAutospacing="0" w:after="240" w:afterAutospacing="0"/>
      </w:pPr>
      <w:r w:rsidRPr="00E620D9">
        <w:rPr>
          <w:b/>
          <w:bCs/>
          <w:color w:val="000000"/>
        </w:rPr>
        <w:t>Family Caregiver Involvement at Hospital Discharge - A Call for Support of the Caregiver Advise, Record, Enable (CARE) Act </w:t>
      </w:r>
    </w:p>
    <w:p w14:paraId="1F599E22" w14:textId="66CD1316" w:rsidR="00931E9F" w:rsidRPr="00931E9F" w:rsidRDefault="00931E9F" w:rsidP="00931E9F">
      <w:pPr>
        <w:pStyle w:val="NormalWeb"/>
        <w:spacing w:before="240" w:beforeAutospacing="0" w:after="240" w:afterAutospacing="0"/>
      </w:pPr>
      <w:r w:rsidRPr="00E620D9">
        <w:rPr>
          <w:color w:val="000000"/>
        </w:rPr>
        <w:t>According to the National Library of Medicine, “</w:t>
      </w:r>
      <w:r w:rsidRPr="00E620D9">
        <w:rPr>
          <w:color w:val="212121"/>
          <w:shd w:val="clear" w:color="auto" w:fill="FFFFFF"/>
        </w:rPr>
        <w:t>the Caregiver Advise, Record, Enable (CARE)</w:t>
      </w:r>
      <w:r w:rsidRPr="00931E9F">
        <w:rPr>
          <w:color w:val="212121"/>
          <w:shd w:val="clear" w:color="auto" w:fill="FFFFFF"/>
        </w:rPr>
        <w:t xml:space="preserve"> Act</w:t>
      </w:r>
      <w:r w:rsidR="002D6F4C">
        <w:rPr>
          <w:color w:val="212121"/>
          <w:shd w:val="clear" w:color="auto" w:fill="FFFFFF"/>
        </w:rPr>
        <w:t xml:space="preserve">” </w:t>
      </w:r>
      <w:r w:rsidRPr="00931E9F">
        <w:rPr>
          <w:color w:val="212121"/>
          <w:shd w:val="clear" w:color="auto" w:fill="FFFFFF"/>
        </w:rPr>
        <w:t>passed in over 40 US states, is intended to provide family caregivers of hospitalized patients with the knowledge and skills needed for safe and efficient transitions.  It has broken important ground for family caregivers who assist with transitions in patient care.”</w:t>
      </w:r>
      <w:r w:rsidRPr="00931E9F">
        <w:rPr>
          <w:rStyle w:val="FootnoteReference"/>
          <w:color w:val="212121"/>
          <w:shd w:val="clear" w:color="auto" w:fill="FFFFFF"/>
        </w:rPr>
        <w:footnoteReference w:id="1"/>
      </w:r>
      <w:r w:rsidRPr="00931E9F">
        <w:rPr>
          <w:color w:val="212121"/>
          <w:shd w:val="clear" w:color="auto" w:fill="FFFFFF"/>
        </w:rPr>
        <w:t xml:space="preserve"> The “2022 National Strategy to Support Family Caregivers: Actions for States, Communities, and Others”</w:t>
      </w:r>
      <w:r w:rsidRPr="00931E9F">
        <w:rPr>
          <w:rStyle w:val="FootnoteReference"/>
          <w:color w:val="212121"/>
          <w:shd w:val="clear" w:color="auto" w:fill="FFFFFF"/>
        </w:rPr>
        <w:footnoteReference w:id="2"/>
      </w:r>
      <w:r w:rsidRPr="00931E9F">
        <w:rPr>
          <w:color w:val="212121"/>
          <w:shd w:val="clear" w:color="auto" w:fill="FFFFFF"/>
        </w:rPr>
        <w:t xml:space="preserve"> includes recommendations for states that have not already done so, to adopt and expand the CARE Act to ensure family caregivers are integrated into transition services. There are an </w:t>
      </w:r>
      <w:r w:rsidRPr="00931E9F">
        <w:rPr>
          <w:color w:val="000000"/>
        </w:rPr>
        <w:t>estimated 580,000 family caregivers providing an estimated $9.2 billion in unpaid care to their loved ones in Wisconsin.</w:t>
      </w:r>
      <w:r w:rsidR="00E620D9">
        <w:rPr>
          <w:rStyle w:val="FootnoteReference"/>
          <w:color w:val="000000"/>
        </w:rPr>
        <w:footnoteReference w:id="3"/>
      </w:r>
      <w:r w:rsidRPr="00931E9F">
        <w:rPr>
          <w:color w:val="000000"/>
        </w:rPr>
        <w:t xml:space="preserve"> Yet, </w:t>
      </w:r>
      <w:r w:rsidRPr="00931E9F">
        <w:rPr>
          <w:color w:val="212121"/>
          <w:shd w:val="clear" w:color="auto" w:fill="FFFFFF"/>
        </w:rPr>
        <w:t>the CARE Act has not yet been passed in Wisconsin.</w:t>
      </w:r>
    </w:p>
    <w:p w14:paraId="4C145066" w14:textId="5B9E072E" w:rsidR="00931E9F" w:rsidRPr="00931E9F" w:rsidRDefault="00931E9F" w:rsidP="00931E9F">
      <w:pPr>
        <w:pStyle w:val="NormalWeb"/>
        <w:spacing w:before="240" w:beforeAutospacing="0" w:after="240" w:afterAutospacing="0"/>
      </w:pPr>
      <w:r w:rsidRPr="00931E9F">
        <w:rPr>
          <w:color w:val="212121"/>
          <w:shd w:val="clear" w:color="auto" w:fill="FFFFFF"/>
        </w:rPr>
        <w:t>The Wisconsin Aging Advocacy Network (WAAN), Wisconsin Family &amp; Caregiver Support Alliance (WFACSA), and the Greater Wisconsin Agency on Aging Resources (GWAAR) have partnered with grassroots family caregivers from around the state.  Our collective hope is to increase awareness of family caregiver issues, build partnerships to better support family caregivers, and strengthen services and support for family caregivers.  With this</w:t>
      </w:r>
      <w:r w:rsidRPr="00931E9F">
        <w:rPr>
          <w:shd w:val="clear" w:color="auto" w:fill="FFFFFF"/>
        </w:rPr>
        <w:t> </w:t>
      </w:r>
      <w:hyperlink r:id="rId11" w:history="1">
        <w:r w:rsidRPr="00931E9F">
          <w:rPr>
            <w:rStyle w:val="Hyperlink"/>
            <w:color w:val="1155CC"/>
          </w:rPr>
          <w:t>family caregiver video</w:t>
        </w:r>
      </w:hyperlink>
      <w:r w:rsidRPr="00931E9F">
        <w:rPr>
          <w:color w:val="000000"/>
        </w:rPr>
        <w:t>,</w:t>
      </w:r>
      <w:r w:rsidRPr="00931E9F">
        <w:rPr>
          <w:color w:val="212121"/>
          <w:shd w:val="clear" w:color="auto" w:fill="FFFFFF"/>
        </w:rPr>
        <w:t xml:space="preserve"> we are giving a voice to Wisconsin family caregivers who </w:t>
      </w:r>
      <w:r w:rsidR="00E620D9">
        <w:rPr>
          <w:color w:val="212121"/>
          <w:shd w:val="clear" w:color="auto" w:fill="FFFFFF"/>
        </w:rPr>
        <w:t xml:space="preserve">want to see improvement in discharges </w:t>
      </w:r>
      <w:r w:rsidRPr="00931E9F">
        <w:rPr>
          <w:color w:val="212121"/>
          <w:shd w:val="clear" w:color="auto" w:fill="FFFFFF"/>
        </w:rPr>
        <w:t>from Wisconsin hospitals. Family Caregivers are the “backbone of the health industry” and need to be recognized and involved as a critical part of the care team.</w:t>
      </w:r>
      <w:r w:rsidR="00E620D9">
        <w:rPr>
          <w:rStyle w:val="FootnoteReference"/>
          <w:color w:val="212121"/>
          <w:shd w:val="clear" w:color="auto" w:fill="FFFFFF"/>
        </w:rPr>
        <w:footnoteReference w:id="4"/>
      </w:r>
      <w:r w:rsidRPr="00931E9F">
        <w:rPr>
          <w:color w:val="212121"/>
          <w:shd w:val="clear" w:color="auto" w:fill="FFFFFF"/>
        </w:rPr>
        <w:t> </w:t>
      </w:r>
    </w:p>
    <w:p w14:paraId="425D2EEC" w14:textId="122EF57F" w:rsidR="00931E9F" w:rsidRPr="00931E9F" w:rsidRDefault="00931E9F" w:rsidP="00931E9F">
      <w:pPr>
        <w:pStyle w:val="NormalWeb"/>
        <w:spacing w:before="240" w:beforeAutospacing="0" w:after="240" w:afterAutospacing="0"/>
      </w:pPr>
      <w:r w:rsidRPr="00931E9F">
        <w:rPr>
          <w:color w:val="212121"/>
          <w:shd w:val="clear" w:color="auto" w:fill="FFFFFF"/>
        </w:rPr>
        <w:t xml:space="preserve">We ask that you </w:t>
      </w:r>
      <w:r w:rsidR="00A15241">
        <w:t xml:space="preserve">watch the </w:t>
      </w:r>
      <w:hyperlink r:id="rId12" w:history="1">
        <w:r w:rsidR="00C60A93">
          <w:rPr>
            <w:rStyle w:val="Hyperlink"/>
            <w:color w:val="1155CC"/>
          </w:rPr>
          <w:t>video</w:t>
        </w:r>
      </w:hyperlink>
      <w:r w:rsidR="00A15241">
        <w:t xml:space="preserve">, share the video, take the </w:t>
      </w:r>
      <w:hyperlink r:id="rId13" w:history="1">
        <w:r w:rsidR="00A15241">
          <w:rPr>
            <w:rStyle w:val="Hyperlink"/>
          </w:rPr>
          <w:t>survey</w:t>
        </w:r>
      </w:hyperlink>
      <w:r w:rsidR="00A15241">
        <w:t>, call your legislature</w:t>
      </w:r>
      <w:r w:rsidRPr="00931E9F">
        <w:rPr>
          <w:color w:val="212121"/>
          <w:shd w:val="clear" w:color="auto" w:fill="FFFFFF"/>
        </w:rPr>
        <w:t xml:space="preserve"> to share your story</w:t>
      </w:r>
      <w:r w:rsidR="00A15241">
        <w:rPr>
          <w:color w:val="212121"/>
          <w:shd w:val="clear" w:color="auto" w:fill="FFFFFF"/>
        </w:rPr>
        <w:t>,</w:t>
      </w:r>
      <w:r w:rsidRPr="00931E9F">
        <w:rPr>
          <w:color w:val="212121"/>
          <w:shd w:val="clear" w:color="auto" w:fill="FFFFFF"/>
        </w:rPr>
        <w:t xml:space="preserve"> and ask them to pass the CARE Act in Wisconsin.</w:t>
      </w:r>
    </w:p>
    <w:p w14:paraId="0BDDF3B9" w14:textId="77777777" w:rsidR="00931E9F" w:rsidRPr="00931E9F" w:rsidRDefault="00931E9F" w:rsidP="00931E9F">
      <w:pPr>
        <w:pStyle w:val="NormalWeb"/>
        <w:spacing w:before="240" w:beforeAutospacing="0" w:after="240" w:afterAutospacing="0"/>
      </w:pPr>
      <w:r w:rsidRPr="00931E9F">
        <w:rPr>
          <w:b/>
          <w:bCs/>
          <w:color w:val="000000"/>
        </w:rPr>
        <w:t>For Further Information Contact:</w:t>
      </w:r>
    </w:p>
    <w:p w14:paraId="5CDBA778" w14:textId="77777777" w:rsidR="00931E9F" w:rsidRPr="00931E9F" w:rsidRDefault="00931E9F" w:rsidP="00931E9F">
      <w:pPr>
        <w:pStyle w:val="NormalWeb"/>
        <w:spacing w:before="0" w:beforeAutospacing="0" w:after="0" w:afterAutospacing="0"/>
      </w:pPr>
      <w:r w:rsidRPr="00931E9F">
        <w:rPr>
          <w:color w:val="000000"/>
        </w:rPr>
        <w:t xml:space="preserve">Bryn Ceman; 608-228-8096; </w:t>
      </w:r>
      <w:r w:rsidRPr="00931E9F">
        <w:rPr>
          <w:color w:val="1155CC"/>
        </w:rPr>
        <w:t>bryn.ceman@gwaar.org</w:t>
      </w:r>
    </w:p>
    <w:p w14:paraId="16C504EB" w14:textId="71B48753" w:rsidR="006A0CBF" w:rsidRPr="00931E9F" w:rsidRDefault="00931E9F" w:rsidP="00931E9F">
      <w:r w:rsidRPr="00931E9F">
        <w:rPr>
          <w:color w:val="000000"/>
        </w:rPr>
        <w:t xml:space="preserve">Janet Zander; 715-677-6723; </w:t>
      </w:r>
      <w:r w:rsidRPr="00931E9F">
        <w:rPr>
          <w:color w:val="1155CC"/>
        </w:rPr>
        <w:t>janet.zander@gwaar.org</w:t>
      </w:r>
    </w:p>
    <w:sectPr w:rsidR="006A0CBF" w:rsidRPr="00931E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DBA7" w14:textId="77777777" w:rsidR="00931E9F" w:rsidRDefault="00931E9F" w:rsidP="00931E9F">
      <w:r>
        <w:separator/>
      </w:r>
    </w:p>
  </w:endnote>
  <w:endnote w:type="continuationSeparator" w:id="0">
    <w:p w14:paraId="4E780AF2" w14:textId="77777777" w:rsidR="00931E9F" w:rsidRDefault="00931E9F" w:rsidP="0093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7497" w14:textId="77777777" w:rsidR="00931E9F" w:rsidRDefault="00931E9F" w:rsidP="00931E9F">
      <w:r>
        <w:separator/>
      </w:r>
    </w:p>
  </w:footnote>
  <w:footnote w:type="continuationSeparator" w:id="0">
    <w:p w14:paraId="2A7F5284" w14:textId="77777777" w:rsidR="00931E9F" w:rsidRDefault="00931E9F" w:rsidP="00931E9F">
      <w:r>
        <w:continuationSeparator/>
      </w:r>
    </w:p>
  </w:footnote>
  <w:footnote w:id="1">
    <w:p w14:paraId="64C40121" w14:textId="49EE20D1" w:rsidR="00931E9F" w:rsidRPr="00E620D9" w:rsidRDefault="00931E9F">
      <w:pPr>
        <w:pStyle w:val="FootnoteText"/>
        <w:rPr>
          <w:sz w:val="16"/>
          <w:szCs w:val="16"/>
        </w:rPr>
      </w:pPr>
      <w:r w:rsidRPr="00E620D9">
        <w:rPr>
          <w:rStyle w:val="FootnoteReference"/>
          <w:sz w:val="16"/>
          <w:szCs w:val="16"/>
        </w:rPr>
        <w:footnoteRef/>
      </w:r>
      <w:r w:rsidRPr="00E620D9">
        <w:rPr>
          <w:sz w:val="16"/>
          <w:szCs w:val="16"/>
        </w:rPr>
        <w:t xml:space="preserve"> Improving Transitions in Care for Patients and Family Caregivers Living in Rural and Underserved Areas: The Caregiver Advise, Record, Enable (CARE) Act - </w:t>
      </w:r>
      <w:hyperlink r:id="rId1" w:history="1">
        <w:r w:rsidRPr="00E620D9">
          <w:rPr>
            <w:rStyle w:val="Hyperlink"/>
            <w:sz w:val="16"/>
            <w:szCs w:val="16"/>
          </w:rPr>
          <w:t>Improving Transitions in Care for Patients and Family Caregivers Living in Rural and Underserved Areas: The Caregiver Advise, Record, Enable (CARE) Act - PubMed (nih.gov)</w:t>
        </w:r>
      </w:hyperlink>
      <w:r w:rsidRPr="00E620D9">
        <w:rPr>
          <w:sz w:val="16"/>
          <w:szCs w:val="16"/>
        </w:rPr>
        <w:t>, February 2022</w:t>
      </w:r>
    </w:p>
  </w:footnote>
  <w:footnote w:id="2">
    <w:p w14:paraId="2F7B35A4" w14:textId="4AB779E6" w:rsidR="00931E9F" w:rsidRPr="00E620D9" w:rsidRDefault="00931E9F" w:rsidP="00E620D9">
      <w:pPr>
        <w:pStyle w:val="NormalWeb"/>
        <w:spacing w:before="0" w:beforeAutospacing="0" w:after="0" w:afterAutospacing="0"/>
        <w:rPr>
          <w:sz w:val="16"/>
          <w:szCs w:val="16"/>
        </w:rPr>
      </w:pPr>
      <w:r w:rsidRPr="00E620D9">
        <w:rPr>
          <w:rStyle w:val="FootnoteReference"/>
          <w:sz w:val="16"/>
          <w:szCs w:val="16"/>
        </w:rPr>
        <w:footnoteRef/>
      </w:r>
      <w:r w:rsidRPr="00E620D9">
        <w:rPr>
          <w:sz w:val="16"/>
          <w:szCs w:val="16"/>
        </w:rPr>
        <w:t xml:space="preserve"> </w:t>
      </w:r>
      <w:r w:rsidRPr="00E620D9">
        <w:rPr>
          <w:color w:val="000000"/>
          <w:sz w:val="16"/>
          <w:szCs w:val="16"/>
        </w:rPr>
        <w:t>2022 National Strategy to Support Family Caregivers: Actions for States, Communities, and Others -</w:t>
      </w:r>
      <w:hyperlink r:id="rId2" w:history="1">
        <w:r w:rsidRPr="00E620D9">
          <w:rPr>
            <w:rStyle w:val="Hyperlink"/>
            <w:sz w:val="16"/>
            <w:szCs w:val="16"/>
          </w:rPr>
          <w:t>https://acl.gov/sites/default/files/RAISE_SGRG/NatlStrategyFamCaregivers_ActionsSCO.pdf</w:t>
        </w:r>
      </w:hyperlink>
      <w:r w:rsidRPr="00E620D9">
        <w:rPr>
          <w:color w:val="000000"/>
          <w:sz w:val="16"/>
          <w:szCs w:val="16"/>
        </w:rPr>
        <w:t>, September 21, 2022</w:t>
      </w:r>
    </w:p>
  </w:footnote>
  <w:footnote w:id="3">
    <w:p w14:paraId="07A864CB" w14:textId="3CAA42A3" w:rsidR="00E620D9" w:rsidRPr="00A15241" w:rsidRDefault="00E620D9">
      <w:pPr>
        <w:pStyle w:val="FootnoteText"/>
        <w:rPr>
          <w:sz w:val="16"/>
          <w:szCs w:val="16"/>
        </w:rPr>
      </w:pPr>
      <w:r w:rsidRPr="00A15241">
        <w:rPr>
          <w:rStyle w:val="FootnoteReference"/>
          <w:sz w:val="16"/>
          <w:szCs w:val="16"/>
        </w:rPr>
        <w:footnoteRef/>
      </w:r>
      <w:r w:rsidRPr="00A15241">
        <w:rPr>
          <w:sz w:val="16"/>
          <w:szCs w:val="16"/>
        </w:rPr>
        <w:t xml:space="preserve"> Family Caregivers in Wisconsin Provide $9.2 Billion in Unpaid Care to Loved Ones - </w:t>
      </w:r>
      <w:hyperlink r:id="rId3" w:history="1">
        <w:r w:rsidRPr="00A15241">
          <w:rPr>
            <w:color w:val="0000FF"/>
            <w:sz w:val="16"/>
            <w:szCs w:val="16"/>
          </w:rPr>
          <w:t>Family Caregivers in Wisconsin Provide $9.2 Billion in Unpaid Care to Loved Ones (aarp.org)</w:t>
        </w:r>
      </w:hyperlink>
      <w:r w:rsidRPr="00A15241">
        <w:rPr>
          <w:sz w:val="16"/>
          <w:szCs w:val="16"/>
        </w:rPr>
        <w:t>, 2023</w:t>
      </w:r>
    </w:p>
  </w:footnote>
  <w:footnote w:id="4">
    <w:p w14:paraId="26175655" w14:textId="0C2FB7DF" w:rsidR="00E620D9" w:rsidRDefault="00E620D9">
      <w:pPr>
        <w:pStyle w:val="FootnoteText"/>
      </w:pPr>
      <w:r w:rsidRPr="00A15241">
        <w:rPr>
          <w:rStyle w:val="FootnoteReference"/>
          <w:sz w:val="16"/>
          <w:szCs w:val="16"/>
        </w:rPr>
        <w:footnoteRef/>
      </w:r>
      <w:r w:rsidRPr="00A15241">
        <w:rPr>
          <w:sz w:val="16"/>
          <w:szCs w:val="16"/>
        </w:rPr>
        <w:t xml:space="preserve"> </w:t>
      </w:r>
      <w:hyperlink r:id="rId4" w:history="1">
        <w:r w:rsidR="00A15241" w:rsidRPr="00A15241">
          <w:rPr>
            <w:color w:val="0000FF"/>
            <w:sz w:val="16"/>
            <w:szCs w:val="16"/>
          </w:rPr>
          <w:t>Family caregivers are the backbone of the health industry | News Desk (interimhealthcare.com)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46CBD"/>
    <w:multiLevelType w:val="hybridMultilevel"/>
    <w:tmpl w:val="DEEEDE12"/>
    <w:lvl w:ilvl="0" w:tplc="EABE10E0">
      <w:start w:val="1"/>
      <w:numFmt w:val="bullet"/>
      <w:lvlText w:val=""/>
      <w:lvlJc w:val="left"/>
      <w:pPr>
        <w:tabs>
          <w:tab w:val="num" w:pos="360"/>
        </w:tabs>
        <w:ind w:left="64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6D5993"/>
    <w:multiLevelType w:val="hybridMultilevel"/>
    <w:tmpl w:val="E9DC21E8"/>
    <w:lvl w:ilvl="0" w:tplc="74AC770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918020">
    <w:abstractNumId w:val="0"/>
  </w:num>
  <w:num w:numId="2" w16cid:durableId="136551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BF"/>
    <w:rsid w:val="000C6ED8"/>
    <w:rsid w:val="000F6AF0"/>
    <w:rsid w:val="002D6F4C"/>
    <w:rsid w:val="00480377"/>
    <w:rsid w:val="005A3D34"/>
    <w:rsid w:val="006A0CBF"/>
    <w:rsid w:val="00852BF5"/>
    <w:rsid w:val="0091606A"/>
    <w:rsid w:val="00931E9F"/>
    <w:rsid w:val="00A15241"/>
    <w:rsid w:val="00A16303"/>
    <w:rsid w:val="00B45394"/>
    <w:rsid w:val="00C60A93"/>
    <w:rsid w:val="00CA341F"/>
    <w:rsid w:val="00CD31E8"/>
    <w:rsid w:val="00E620D9"/>
    <w:rsid w:val="00EA2499"/>
    <w:rsid w:val="00FB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DAE0"/>
  <w15:chartTrackingRefBased/>
  <w15:docId w15:val="{EAFCE565-1451-4F2F-8509-C6F622B4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B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A0CBF"/>
    <w:rPr>
      <w:color w:val="0000FF"/>
      <w:u w:val="single"/>
    </w:rPr>
  </w:style>
  <w:style w:type="character" w:styleId="UnresolvedMention">
    <w:name w:val="Unresolved Mention"/>
    <w:basedOn w:val="DefaultParagraphFont"/>
    <w:uiPriority w:val="99"/>
    <w:semiHidden/>
    <w:unhideWhenUsed/>
    <w:rsid w:val="00852BF5"/>
    <w:rPr>
      <w:color w:val="605E5C"/>
      <w:shd w:val="clear" w:color="auto" w:fill="E1DFDD"/>
    </w:rPr>
  </w:style>
  <w:style w:type="paragraph" w:styleId="ListParagraph">
    <w:name w:val="List Paragraph"/>
    <w:basedOn w:val="Normal"/>
    <w:uiPriority w:val="34"/>
    <w:qFormat/>
    <w:rsid w:val="00FB4566"/>
    <w:pPr>
      <w:spacing w:after="160" w:line="25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45394"/>
    <w:pPr>
      <w:spacing w:before="100" w:beforeAutospacing="1" w:after="100" w:afterAutospacing="1"/>
    </w:pPr>
  </w:style>
  <w:style w:type="paragraph" w:styleId="FootnoteText">
    <w:name w:val="footnote text"/>
    <w:basedOn w:val="Normal"/>
    <w:link w:val="FootnoteTextChar"/>
    <w:uiPriority w:val="99"/>
    <w:semiHidden/>
    <w:unhideWhenUsed/>
    <w:rsid w:val="00931E9F"/>
    <w:rPr>
      <w:sz w:val="20"/>
      <w:szCs w:val="20"/>
    </w:rPr>
  </w:style>
  <w:style w:type="character" w:customStyle="1" w:styleId="FootnoteTextChar">
    <w:name w:val="Footnote Text Char"/>
    <w:basedOn w:val="DefaultParagraphFont"/>
    <w:link w:val="FootnoteText"/>
    <w:uiPriority w:val="99"/>
    <w:semiHidden/>
    <w:rsid w:val="00931E9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931E9F"/>
    <w:rPr>
      <w:vertAlign w:val="superscript"/>
    </w:rPr>
  </w:style>
  <w:style w:type="character" w:styleId="FollowedHyperlink">
    <w:name w:val="FollowedHyperlink"/>
    <w:basedOn w:val="DefaultParagraphFont"/>
    <w:uiPriority w:val="99"/>
    <w:semiHidden/>
    <w:unhideWhenUsed/>
    <w:rsid w:val="00931E9F"/>
    <w:rPr>
      <w:color w:val="954F72" w:themeColor="followedHyperlink"/>
      <w:u w:val="single"/>
    </w:rPr>
  </w:style>
  <w:style w:type="paragraph" w:styleId="Revision">
    <w:name w:val="Revision"/>
    <w:hidden/>
    <w:uiPriority w:val="99"/>
    <w:semiHidden/>
    <w:rsid w:val="002D6F4C"/>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8563">
      <w:bodyDiv w:val="1"/>
      <w:marLeft w:val="0"/>
      <w:marRight w:val="0"/>
      <w:marTop w:val="0"/>
      <w:marBottom w:val="0"/>
      <w:divBdr>
        <w:top w:val="none" w:sz="0" w:space="0" w:color="auto"/>
        <w:left w:val="none" w:sz="0" w:space="0" w:color="auto"/>
        <w:bottom w:val="none" w:sz="0" w:space="0" w:color="auto"/>
        <w:right w:val="none" w:sz="0" w:space="0" w:color="auto"/>
      </w:divBdr>
    </w:div>
    <w:div w:id="539900902">
      <w:bodyDiv w:val="1"/>
      <w:marLeft w:val="0"/>
      <w:marRight w:val="0"/>
      <w:marTop w:val="0"/>
      <w:marBottom w:val="0"/>
      <w:divBdr>
        <w:top w:val="none" w:sz="0" w:space="0" w:color="auto"/>
        <w:left w:val="none" w:sz="0" w:space="0" w:color="auto"/>
        <w:bottom w:val="none" w:sz="0" w:space="0" w:color="auto"/>
        <w:right w:val="none" w:sz="0" w:space="0" w:color="auto"/>
      </w:divBdr>
    </w:div>
    <w:div w:id="614484815">
      <w:bodyDiv w:val="1"/>
      <w:marLeft w:val="0"/>
      <w:marRight w:val="0"/>
      <w:marTop w:val="0"/>
      <w:marBottom w:val="0"/>
      <w:divBdr>
        <w:top w:val="none" w:sz="0" w:space="0" w:color="auto"/>
        <w:left w:val="none" w:sz="0" w:space="0" w:color="auto"/>
        <w:bottom w:val="none" w:sz="0" w:space="0" w:color="auto"/>
        <w:right w:val="none" w:sz="0" w:space="0" w:color="auto"/>
      </w:divBdr>
    </w:div>
    <w:div w:id="913274177">
      <w:bodyDiv w:val="1"/>
      <w:marLeft w:val="0"/>
      <w:marRight w:val="0"/>
      <w:marTop w:val="0"/>
      <w:marBottom w:val="0"/>
      <w:divBdr>
        <w:top w:val="none" w:sz="0" w:space="0" w:color="auto"/>
        <w:left w:val="none" w:sz="0" w:space="0" w:color="auto"/>
        <w:bottom w:val="none" w:sz="0" w:space="0" w:color="auto"/>
        <w:right w:val="none" w:sz="0" w:space="0" w:color="auto"/>
      </w:divBdr>
    </w:div>
    <w:div w:id="935407175">
      <w:bodyDiv w:val="1"/>
      <w:marLeft w:val="0"/>
      <w:marRight w:val="0"/>
      <w:marTop w:val="0"/>
      <w:marBottom w:val="0"/>
      <w:divBdr>
        <w:top w:val="none" w:sz="0" w:space="0" w:color="auto"/>
        <w:left w:val="none" w:sz="0" w:space="0" w:color="auto"/>
        <w:bottom w:val="none" w:sz="0" w:space="0" w:color="auto"/>
        <w:right w:val="none" w:sz="0" w:space="0" w:color="auto"/>
      </w:divBdr>
    </w:div>
    <w:div w:id="15274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rveymonkey.com/r/SVHTTY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woii2nwh0go6de2/CTCC%20Draft%20Voice%20Over%20Final.mp4?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woii2nwh0go6de2/CTCC%20Draft%20Voice%20Over%20Final.mp4?dl=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ates.aarp.org/wisconsin/wi-valuing" TargetMode="External"/><Relationship Id="rId2" Type="http://schemas.openxmlformats.org/officeDocument/2006/relationships/hyperlink" Target="https://acl.gov/sites/default/files/RAISE_SGRG/NatlStrategyFamCaregivers_ActionsSCO.pdf" TargetMode="External"/><Relationship Id="rId1" Type="http://schemas.openxmlformats.org/officeDocument/2006/relationships/hyperlink" Target="https://pubmed.ncbi.nlm.nih.gov/35156557/" TargetMode="External"/><Relationship Id="rId4" Type="http://schemas.openxmlformats.org/officeDocument/2006/relationships/hyperlink" Target="https://www.interimhealthcare.com/about-interim-healthcare/news-media/news-desk/family-caregivers-are-the-backbone-of-the-healt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4FAC6-D41F-4467-9A06-DE53E29B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Ceman</dc:creator>
  <cp:keywords/>
  <dc:description/>
  <cp:lastModifiedBy>Janet Zander</cp:lastModifiedBy>
  <cp:revision>2</cp:revision>
  <dcterms:created xsi:type="dcterms:W3CDTF">2023-07-27T12:38:00Z</dcterms:created>
  <dcterms:modified xsi:type="dcterms:W3CDTF">2023-07-27T12:38:00Z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f4135f5b-1765-4b31-a5f7-7e478917fb06</vt:lpwstr>
  </property>
</Properties>
</file>